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8"/>
          <w:szCs w:val="28"/>
        </w:rPr>
        <w:t xml:space="preserve">COMUNE DI [DENOMINAZIONE COMUNE]</w:t>
      </w:r>
    </w:p>
    <w:p>
      <w:pPr>
        <w:spacing w:after="2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2"/>
          <w:szCs w:val="22"/>
        </w:rPr>
        <w:t xml:space="preserve">PROVINCIA DI RIETI</w:t>
      </w:r>
    </w:p>
    <w:p>
      <w:pPr>
        <w:spacing w:after="60" w:before="12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6"/>
          <w:szCs w:val="26"/>
        </w:rPr>
        <w:t xml:space="preserve">FASCICOLO OPERATIVO DI MONITORAGGIO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2"/>
          <w:szCs w:val="22"/>
        </w:rPr>
        <w:t xml:space="preserve">della sezione «Amministrazione Trasparente»</w:t>
      </w:r>
    </w:p>
    <w:p>
      <w:pPr>
        <w:spacing w:after="28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20"/>
          <w:szCs w:val="20"/>
        </w:rPr>
        <w:t xml:space="preserve">Annualità 2026 — Delibera ANAC n. 168 del 15 aprile 2026</w:t>
      </w:r>
    </w:p>
    <w:p>
      <w:pPr>
        <w:spacing w:after="28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E67E22"/>
          <w:sz w:val="18"/>
          <w:szCs w:val="18"/>
        </w:rPr>
        <w:t xml:space="preserve">(aggiornato agli schemi della Delibera ANAC n. 481/2025)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Data della «foto» della sezione AT: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 (Delibera ANAC 168/2026 — 15 giugno 2026)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Periodo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anno 2025 e aggiornamenti del 2026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Compilato da: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Qualifica: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RPCT   ☐ OIV   ☐ Responsabile Trasparenza   ☐ Altro: 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Applicativo ANAC «Attestazioni OIV»: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☐ aperto dal 16/06/2026   Compilazione entro: ___/___/2026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ISTRUZIONI DI COMPILAZIONE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Per ciascuna scheda compilare le 6 colonne della tabella: (1) N. progressivo; (2) Voce di pubblicazione obbligatoria; (3) URL diretto della pubblicazione sul sito istituzionale; (4) Data dell'ultimo aggiornamento del dato; (5) Esito della verifica (OK / KO / N/A); (6) Note libere.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Al termine di ogni scheda indicare l'esito complessivo della sezione e — in caso di criticità — il piano di rientro (ufficio responsabile + termine).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Le sezioni contrassegnate con 🆕 sono interessate da modifiche introdotte dalla Delibera ANAC n. 481 del 3 dicembre 2025, con obbligo dal 22 gennaio 2026.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Le voci «N/A» richiedono di pubblicare nella relativa sottosezione di AT la precisazione: «L'obbligo di pubblicazione non è applicabile all'amministrazione», come previsto dalle Istruzioni operative ANAC (Allegato 4).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Disposizioni generali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10, 12 c. 1-bis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Piano triennale per la prevenzione della corruzione (sez. del PIAO)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generali (statuto, regolamenti, codice di comportamento)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Documenti di programmazione strategico-gestionale (PIAO, DUP)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Oneri informativi per cittadini e imprese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Burocrazia zero / scadenzario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2.A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Organizzazione — Titolari di incarichi politici, di amministrazione, di direzione, di governo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14 c. 1 D.Lgs. 33/2013 — Delibera ANAC n. 241/2017 (e successive integrazioni)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Atto di nomina o di proclamazione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Curriculum vitae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Compensi connessi all'assunzione della carica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Importi viaggi di servizio e missioni pagati con fondi pubblici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relativi all'assunzione di altre cariche presso enti pubblici/privati e relativi compensi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Altri eventuali incarichi con oneri a carico della finanza pubblica e relativi compensi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7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Dichiarazioni reddituali e patrimoniali (per i titolari soggetti)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8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Sanzioni amministrative pecuniarie per mancata o incompleta comunicazione (art. 47 D.Lgs. 33/2013)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2.B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Organizzazione — Articolazione degli uffici, contatti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13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Articolazione degli uffici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Organigramma aggiornato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Telefono e posta elettronica (PEC istituzionale, PEC dei singoli uffici)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3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Consulenti e collaboratori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15, 15-bis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Estremi atto di conferimento incarico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Curriculum vitae del consulente/collaboratore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Compensi (con specifica eventuali rimborsi)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relativi allo svolgimento di incarichi/cariche presso enti privati regolati o finanziati dalla PA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Attestazione di insussistenza di cause di inconferibilità/incompatibilità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4.A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Personale — Titolari di incarichi dirigenziali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14 c. 1-bis D.Lgs. 33/2013; D.Lgs. 39/2013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Atto di conferimento incarico dirigenziale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Curriculum vitae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Compensi (parte fissa + parte variabile)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relativi allo svolgimento di altri incarichi/cariche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Importi viaggi e missioni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Dichiarazione di insussistenza inconferibilità/incompatibilità (artt. 19, 20 D.Lgs. 39/2013)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4.B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Personale — Dotazione, costo, contrattazione, OIV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16, 17, 18, 21 D.Lgs. 33/2013; art. 10 c. 8 lett. c)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Conto annuale del personale (PerlaPA)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Costo del personale (riferimento al pertinente esercizio)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Personale non a tempo indeterminato e relativo costo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Tassi di assenza trimestrali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Incarichi conferiti e autorizzati ai dipendenti (Anagrafe Prestazioni)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Contrattazione collettiva — CCNL applicato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7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Contrattazione integrativa (CCDI e relazione illustrativa)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8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Organismo Indipendente di Valutazione — nominativi, curriculum, compensi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5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Bandi di concorso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19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Bandi di concorso espletati nell'ultimo triennio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Criteri di valutazione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Tracce delle prove e graduatorie finali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Avvisi di selezione mobilità e relativi esiti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6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Performance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20 D.Lgs. 33/2013; D.Lgs. 150/2009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Sistema di misurazione e valutazione della performance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Piano della Performance (sez. del PIAO)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Relazione sulla Performance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Documento di validazione della Relazione sulla Performance (OIV)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Relazione OIV sul funzionamento del Sistema di valutazione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Ammontare complessivo dei premi collegati alla performance — stanziati / distribuiti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7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relativi ai premi (per categoria di beneficiari)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7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Enti controllati — partecipazioni e enti vigilati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22 D.Lgs. 33/2013; D.Lgs. 175/2016 (TUSP)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Enti pubblici vigilati — dati ex art. 22 c. 1 lett. 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Società partecipate — dati ex art. 22 c. 1 lett. b) (% partecipazione, organi, compensi, risultati)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Enti di diritto privato controllati — dati ex art. 22 c. 1 lett. c)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Rappresentazione grafica delle partecipazioni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Provvedimento di razionalizzazione periodica delle partecipazioni (TUSP)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8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Attività e procedimenti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35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Tipologie di procedimento — schede per ufficio (responsabile, modulistica, termini, modalità di pagamento)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Modalità di accesso ai servizi (sportelli fisici e digitali)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Recapiti dell'ufficio responsabile dell'istruttoria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9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Provvedimenti — organi di indirizzo politico e dirigenziali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23, 26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Provvedimenti degli organi di indirizzo politico (semestrale: data, contenuto, eventuale spesa)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Provvedimenti dei dirigenti — determinazioni/disposizioni (semestrale)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di concessione di sovvenzioni, contributi, sussidi &gt; € 1.000 (art. 26)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10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Bandi di gara e contratti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37 D.Lgs. 33/2013; art. 1 c. 32 L. 190/2012; D.Lgs. 36/2023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Avviso pubblico, bandi di gara e di concessione (dati a struttura aperta)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delle stazioni appaltanti (delibere/determinazioni a contrarre, esiti, aggiudicazioni)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Tabella riassuntiva annuale dei contratti pubblici (art. 1 c. 32 L. 190/2012 — file XML/JSON)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Elenco operatori invitati / aggiudicatari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Contratti stipulati (estremi atto)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Avvisi di preinformazione e indagini di mercato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11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Sovvenzioni, contributi, sussidi, vantaggi economici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26, 27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Criteri e modalità (regolamento approvato)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Elenco dei beneficiari con: importo, ufficio, modalità (semestrale)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Albo dei beneficiari (rinvio o pubblicazione integrata)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Dichiarazioni di insussistenza conflitto di interessi (beneficiario / responsabile procedimento)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12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Bilanci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29, 30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Bilancio di previsione annuale + pluriennale + variazioni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Conto consuntivo / rendiconto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Piano degli indicatori e dei risultati attesi di bilancio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Indicatore di tempestività dei pagamenti (annuale + trimestrale)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Ammontare complessivo dei debiti / numero imprese creditrici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IBAN e codici per i pagamenti informatici della PA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7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Spese per la rappresentanza istituzionale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13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Beni immobili e gestione patrimonio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30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Patrimonio immobiliare — elenco beni immobili e relative caratteristiche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Canoni di locazione attivi e passivi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Patrimonio mobiliare (qualora rilevante)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14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Controlli e rilievi sull'amministrazione</w:t>
      </w:r>
      <w:r>
        <w:rPr>
          <w:rFonts w:ascii="Arial" w:cs="Arial" w:eastAsia="Arial" w:hAnsi="Arial"/>
          <w:b/>
          <w:bCs/>
          <w:i w:val="false"/>
          <w:iCs w:val="false"/>
          <w:color w:val="E67E22"/>
          <w:sz w:val="22"/>
          <w:szCs w:val="22"/>
        </w:rPr>
        <w:t xml:space="preserve">  🆕</w:t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31 D.Lgs. 33/2013 — Schema ANAC modificato dalla Delibera 481/2025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i/>
          <w:iCs/>
          <w:color w:val="E67E22"/>
          <w:sz w:val="15"/>
          <w:szCs w:val="15"/>
        </w:rPr>
        <w:t xml:space="preserve">Aggiornamento Delibera ANAC 481/2025 — schema obbligatorio dal 22 gennaio 2026.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OIV / nucleo di valutazione — documento di validazione della Relazione sulla Performance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OIV — relazione sul funzionamento del Sistema di valutazione (griglie trasparenza)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OIV — altri atti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Organi di revisione — relazione al bilancio di previsione e alle variazioni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Organi di revisione — relazione al conto consuntivo/rendiconto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Corte dei Conti — rilievi recepiti e non recepiti (tabella: data, oggetto, tipo recepimento, link)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15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Servizi erogati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32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Carta dei servizi e standard di qualità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Class action — informazione su procedimenti pendenti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Costi contabilizzati dei servizi e tempi medi di erogazione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Servizi in rete (modalità di accesso digitale)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16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Pagamenti dell'amministrazione (risorse pubbliche)</w:t>
      </w:r>
      <w:r>
        <w:rPr>
          <w:rFonts w:ascii="Arial" w:cs="Arial" w:eastAsia="Arial" w:hAnsi="Arial"/>
          <w:b/>
          <w:bCs/>
          <w:i w:val="false"/>
          <w:iCs w:val="false"/>
          <w:color w:val="E67E22"/>
          <w:sz w:val="22"/>
          <w:szCs w:val="22"/>
        </w:rPr>
        <w:t xml:space="preserve">  🆕</w:t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4-bis D.Lgs. 33/2013 — Schema ANAC modificato dalla Delibera 481/2025</w:t>
      </w:r>
    </w:p>
    <w:p>
      <w:pPr>
        <w:spacing w:after="80" w:before="40"/>
      </w:pPr>
      <w:r>
        <w:rPr>
          <w:rFonts w:ascii="Arial" w:cs="Arial" w:eastAsia="Arial" w:hAnsi="Arial"/>
          <w:b/>
          <w:bCs/>
          <w:i/>
          <w:iCs/>
          <w:color w:val="E67E22"/>
          <w:sz w:val="15"/>
          <w:szCs w:val="15"/>
        </w:rPr>
        <w:t xml:space="preserve">Aggiornamento Delibera ANAC 481/2025 — schema obbligatorio dal 22 gennaio 2026.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sui pagamenti dell'amministrazione (tipologia spesa, ambito temporale, beneficiari)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Indicazione del soggetto come 'tenuto' / 'tenuto parzialmente' / 'non tenuto' all'obbligo art. 4-bis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Collegamento al sito istituzionale 'Soldi pubblici' di AgID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pagamenti pubblicati in formato aperto/riutilizzabile (Linee guida AgID)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17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Opere pubbliche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38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di programmazione delle opere pubbliche (Piano triennale OO.PP.)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Tempi, costi unitari, indicatori di realizzazione delle opere completate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Elenco delle opere in corso e relativi stati di avanzamento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18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Pianificazione e governo del territorio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39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di governo del territorio (PRG/PUG, PUA, varianti)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Pianificazione attuativa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di pianificazione paesaggistica/ambientale di competenza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Avvisi pubblici e atti procedimentali (osservazioni, varianti)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19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Informazioni ambientali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40 D.Lgs. 33/2013; D.Lgs. 195/2005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Informazioni ambientali ex D.Lgs. 195/2005 (stato aria, acqua, suolo, biodiversità)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Misure ambientali incidenti su tali fattori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Stato di salute e sicurezza pubblica con riferimento ad ambiente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20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Interventi straordinari e di emergenza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42 D.Lgs. 33/2013; artt. 50, 54 TUEL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Provvedimenti adottati in caso di emergenze (calamità naturali, eventi straordinari)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 contingibili e urgenti ex artt. 50 e 54 TUEL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21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Altri contenuti — Prevenzione della corruzione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Artt. 10, 43 D.Lgs. 33/2013; L. 190/2012; D.Lgs. 24/2023 (whistleblowing)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PIAO 2026-2028 — sez. anticorruzione e trasparenza (PTPCT)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Atto di nomina del RPCT (con eventuale cumulo o separazione DPO/RTD)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Relazione annuale del RPCT (modello ANAC, scadenza 15 dicembre)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Mappatura aree di rischio e misure di prevenzione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Whistleblowing — canale interno, sostituto del gestore (ANAC fasc. 1808/2026), DPIA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Codice di comportamento integrato dell'ente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22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Altri contenuti — Accesso civico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5 D.Lgs. 33/2013 (accesso civico semplice e generalizzato — FOIA)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Accesso civico semplice — modulistica, ufficio competente, tempi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Accesso civico generalizzato (FOIA) — modulistica, ufficio competente, registro accessi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Esiti dei procedimenti di accesso (sintesi)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23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Altri contenuti — Accessibilità e catalogo dei dati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9 D.Lgs. 33/2013; L. 4/2004; Linee guida AgID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Catalogo dei dati, metadati e banche dati in formato aperto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Obiettivi di accessibilità (entro il 31 marzo)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Regolamento sulla videosorveglianza e relative DPIA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Privacy policy, Cookie policy e Note legali pubblicate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Linee guida AgID su open data e riutilizzo dati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0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SCHEDA 24 — </w:t>
      </w:r>
      <w:r>
        <w:rPr>
          <w:rFonts w:ascii="Arial" w:cs="Arial" w:eastAsia="Arial" w:hAnsi="Arial"/>
          <w:b/>
          <w:bCs/>
          <w:i w:val="false"/>
          <w:iCs w:val="false"/>
          <w:color w:val="1B3A5B"/>
          <w:sz w:val="22"/>
          <w:szCs w:val="22"/>
        </w:rPr>
        <w:t xml:space="preserve">Altri contenuti — Dati ulteriori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8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Base normativa / schema ANAC: </w:t>
      </w: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7-bis c. 3 D.Lgs. 33/2013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"/>
        <w:gridCol w:w="4000"/>
        <w:gridCol w:w="1500"/>
        <w:gridCol w:w="1200"/>
        <w:gridCol w:w="1100"/>
        <w:gridCol w:w="1240"/>
      </w:tblGrid>
      <w:tr>
        <w:trPr>
          <w:tblHeader/>
        </w:trP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 di pubblicazione obbligatoria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URL pubblicazione su sito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Ultimo aggiorn.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Note</w:t>
            </w:r>
          </w:p>
        </w:tc>
      </w:tr>
      <w:tr>
        <w:tc>
          <w:tcPr>
            <w:tcW w:type="dxa" w:w="32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4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Dati ulteriori che l'ente ha individuato come oggetto di pubblicazione (delibera del RPCT/PIAO)</w:t>
            </w:r>
          </w:p>
        </w:tc>
        <w:tc>
          <w:tcPr>
            <w:tcW w:type="dxa" w:w="1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  <w:tc>
          <w:tcPr>
            <w:tcW w:type="dxa" w:w="12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__/__/____</w:t>
            </w:r>
          </w:p>
        </w:tc>
        <w:tc>
          <w:tcPr>
            <w:tcW w:type="dxa" w:w="11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OK
☐ KO
☐ N/A</w:t>
            </w:r>
          </w:p>
        </w:tc>
        <w:tc>
          <w:tcPr>
            <w:tcW w:type="dxa" w:w="124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__________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b/>
          <w:bCs/>
          <w:i w:val="false"/>
          <w:iCs w:val="false"/>
          <w:sz w:val="17"/>
          <w:szCs w:val="17"/>
        </w:rPr>
        <w:t xml:space="preserve">Esito complessivo della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7"/>
          <w:szCs w:val="17"/>
        </w:rPr>
        <w:t xml:space="preserve">☐ Conforme   ☐ Parzialmente conforme   ☐ Non conforme   ☐ Non applicabile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Eventuale criticità rilevata: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Piano di rientro (ufficio + termine):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________________________________________________________________________</w:t>
      </w:r>
    </w:p>
    <w:p>
      <w:pPr>
        <w:spacing w:after="12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Responsabile del dato in questa 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   Firma: ____________________</w:t>
      </w:r>
    </w:p>
    <w:p>
      <w:r>
        <w:br w:type="page"/>
      </w:r>
    </w:p>
    <w:p>
      <w:pPr>
        <w:spacing w:after="120" w:before="20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RIEPILOGO COMPLESSIVO DEL MONITORAGGIO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5160"/>
        <w:gridCol w:w="1700"/>
        <w:gridCol w:w="1900"/>
      </w:tblGrid>
      <w:tr>
        <w:trPr>
          <w:tblHeader/>
        </w:trP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Sezione di Amministrazione Trasparente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Criticità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Disposizioni generali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2.A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Organizzazione — Titolari di incarichi politici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2.B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Organizzazione — Articolazione uffici, contatti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3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Consulenti e collaboratori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4.A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Personale — Titolari di incarichi dirigenziali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4.B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Personale — Dotazione, costo, OIV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5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Bandi di concorso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6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Performance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7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Enti controllati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8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Attività e procedimenti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9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Provvedimenti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10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Bandi di gara e contratti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11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Sovvenzioni, contributi, sussidi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12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Bilanci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13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Beni immobili e gestione patrimonio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14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Controlli e rilievi sull'amministrazione 🆕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15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Servizi erogati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16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Pagamenti dell'amministrazione 🆕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3CD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17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Opere pubbliche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18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Pianificazione e governo del territorio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19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Informazioni ambientali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20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Interventi straordinari e di emergenza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21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Altri contenuti — Prevenzione della corruzione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22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Altri contenuti — Accesso civico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23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Altri contenuti — Accessibilità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  <w:tr>
        <w:tc>
          <w:tcPr>
            <w:tcW w:type="dxa" w:w="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24</w:t>
            </w:r>
          </w:p>
        </w:tc>
        <w:tc>
          <w:tcPr>
            <w:tcW w:type="dxa" w:w="516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Altri contenuti — Dati ulteriori</w:t>
            </w:r>
          </w:p>
        </w:tc>
        <w:tc>
          <w:tcPr>
            <w:tcW w:type="dxa" w:w="17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4"/>
                <w:szCs w:val="14"/>
              </w:rPr>
              <w:t xml:space="preserve">☐ Cf  ☐ Pc  ☐ Nc  ☐ N/A</w:t>
            </w:r>
          </w:p>
        </w:tc>
        <w:tc>
          <w:tcPr>
            <w:tcW w:type="dxa" w:w="1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5F7FA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>__________</w:t>
            </w:r>
          </w:p>
        </w:tc>
      </w:tr>
    </w:tbl>
    <w:p>
      <w:pPr>
        <w:spacing w:after="200" w:before="100" w:line="280"/>
        <w:jc w:val="lef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Legenda: Cf = Conforme · Pc = Parzialmente conforme · Nc = Non conforme · N/A = Non applicabile.</w:t>
      </w:r>
    </w:p>
    <w:p>
      <w:pPr>
        <w:spacing w:after="1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0"/>
          <w:szCs w:val="20"/>
        </w:rPr>
        <w:t xml:space="preserve">ESITO COMPLESSIVO DEL MONITORAGGIO 2026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totalmente conformi: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 / 26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parzialmente conformi: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non conformi: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</w:t>
      </w:r>
    </w:p>
    <w:p>
      <w:pPr>
        <w:spacing w:after="1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Sezioni con obbligo non applicabile: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</w:t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Allineamento alla Delibera ANAC n. 481/2025 (obbligo 22/01/2026):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Scheda 14 (Controlli e rilievi): ☐ Allineata   ☐ Da allineare entro __/__/____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Scheda 16 (Pagamenti dell'amministrazione): ☐ Allineata   ☐ Da allineare entro __/__/____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40" w:before="24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della Prevenzione della Corruzione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 della Trasparenza (RPCT)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60" w:before="24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Visto: l'Organismo Indipendente di Valutazione (OIV)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pBdr>
          <w:top w:val="single" w:color="1B3A5B" w:sz="6" w:space="1"/>
        </w:pBdr>
        <w:spacing w:after="100" w:before="5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8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ADEMPIMENTI SUCCESSIVI E SCADENZE COLLEGATE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• 15 giugno 2026 — «foto» dell'Amministrazione Trasparente da parte dell'OIV (Delibera ANAC 168/2026).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• 16 giugno 2026 — apertura dell'applicativo ANAC «Attestazioni OIV».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• Entro le scadenze fissate da ANAC — caricamento delle attestazioni OIV sull'applicativo.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• 22 gennaio 2026 — entrata in vigore obbligatoria degli schemi modificati dalla Delibera ANAC n. 481/2025 (Allegati 1, 3, 4).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• 15 dicembre 2026 — Relazione annuale del RPCT (modello ANAC).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• Conservazione del presente fascicolo come parte della documentazione interna di monitoraggio e archiviazione del PIAO.</w:t>
      </w:r>
    </w:p>
    <w:sectPr>
      <w:headerReference w:type="default" r:id="rId7"/>
      <w:footerReference w:type="default" r:id="rId8"/>
      <w:pgSz w:w="11906" w:h="16838" w:orient="landscape"/>
      <w:pgMar w:top="850" w:right="850" w:bottom="850" w:left="85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6"/>
        <w:szCs w:val="16"/>
      </w:rPr>
      <w:t xml:space="preserve">Pag. </w:t>
    </w:r>
    <w:r>
      <w:rPr>
        <w:rFonts w:ascii="Arial" w:cs="Arial" w:eastAsia="Arial" w:hAnsi="Arial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6"/>
        <w:szCs w:val="16"/>
      </w:rPr>
      <w:t xml:space="preserve"> di </w:t>
    </w:r>
    <w:r>
      <w:rPr>
        <w:rFonts w:ascii="Arial" w:cs="Arial" w:eastAsia="Arial" w:hAnsi="Arial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4"/>
        <w:szCs w:val="14"/>
      </w:rPr>
      <w:t xml:space="preserve">FASCICOLO MONITORAGGIO AMMINISTRAZIONE TRASPARENTE 2026 — Delibera ANAC 481/2025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Fascicolo monitoraggio Amministrazione Trasparente 2026 — MODELLO</dc:title>
  <dc:creator>Marco Matteocci — Segretario Comunale</dc:creator>
  <dc:description>Modello operativo con schede di rilevazione compilabili per ogni sezione di Amministrazione Trasparente, aggiornato alla Delibera ANAC 481/2025</dc:description>
  <cp:lastModifiedBy>Un-named</cp:lastModifiedBy>
  <cp:revision>1</cp:revision>
  <dcterms:created xsi:type="dcterms:W3CDTF">2026-06-15T14:32:32.197Z</dcterms:created>
  <dcterms:modified xsi:type="dcterms:W3CDTF">2026-06-15T14:32:32.199Z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