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24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CHECKLIST OPERATIVA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2"/>
          <w:szCs w:val="22"/>
        </w:rPr>
        <w:t xml:space="preserve">Monitoraggio della sezione «Amministrazione Trasparente»</w:t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8"/>
          <w:szCs w:val="18"/>
        </w:rPr>
        <w:t xml:space="preserve">aggiornata agli schemi della Delibera ANAC n. 495/2024 e n. 481/2025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200" w:line="300"/>
        <w:jc w:val="both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Data del monitoraggio: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</w:t>
      </w:r>
    </w:p>
    <w:p>
      <w:pPr>
        <w:spacing w:after="40" w:before="0" w:line="300"/>
        <w:jc w:val="both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Periodo monitorato: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</w:t>
      </w:r>
    </w:p>
    <w:p>
      <w:pPr>
        <w:spacing w:after="40" w:before="0" w:line="300"/>
        <w:jc w:val="both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Compilato da: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</w:t>
      </w:r>
    </w:p>
    <w:p>
      <w:pPr>
        <w:spacing w:after="40" w:before="0" w:line="300"/>
        <w:jc w:val="both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Qualifica: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☐ RPCT   ☐ OIV   ☐ Responsabile Ufficio Trasparenza   ☐ Altro: __________</w:t>
      </w:r>
    </w:p>
    <w:p>
      <w:pPr>
        <w:spacing w:after="200" w:before="0" w:line="300"/>
        <w:jc w:val="both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Verifica relativa alla Delibera ANAC: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☐ 495/2024   ☐ 481/2025 (obbligatoria dal 22/01/2026)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pStyle w:val="Heading3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0"/>
          <w:szCs w:val="20"/>
        </w:rPr>
        <w:t xml:space="preserve">Legenda</w:t>
      </w:r>
    </w:p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OK = pubblicazione effettuata e conforme allo schema ANAC.</w:t>
      </w:r>
    </w:p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KO = pubblicazione mancante, non aggiornata o non conforme. Indicare in 'Note' il piano di rientro.</w:t>
      </w:r>
    </w:p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N/A = obbligo non applicabile (specificare nella sottosezione AT la dicitura «L'obbligo di pubblicazione non è applicabile all'amministrazione»).</w:t>
      </w:r>
    </w:p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🆕 = voci aggiunte o modificate dalla Delibera ANAC n. 481/2025 (obbligo dal 22 gennaio 2026).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pStyle w:val="Heading2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1. Disposizioni generali, organizzazione, articolazione degli uffici</w:t>
      </w:r>
    </w:p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Verifica della pubblicazione di: PIAO, organigramma, telefono e PEC, atti generali (statuto, regolamenti).</w:t>
      </w:r>
    </w:p>
    <w:p>
      <w:pPr>
        <w:spacing w:after="200" w:before="80" w:line="300"/>
        <w:jc w:val="both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Esito complessivo: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☐ OK   ☐ Parziale   ☐ Non conforme   Note: __________________________</w:t>
      </w:r>
    </w:p>
    <w:p>
      <w:pPr>
        <w:pStyle w:val="Heading2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2. Organizzazione: titolari di incarichi politici, di amministrazione, di direzione o di governo</w:t>
      </w:r>
    </w:p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Voci da verificare per ciascun amministratore (Sindaco, Assessori, Consiglieri):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200"/>
        <w:gridCol w:w="1400"/>
        <w:gridCol w:w="1960"/>
      </w:tblGrid>
      <w:tr>
        <w:trPr>
          <w:tblHeader/>
        </w:trP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N.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Voce di pubblicazione obbligatoria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Esito verifica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Note / link interno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1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Atto di nomina o di proclamazione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2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Curriculum vitae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3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Compensi connessi all'assunzione della carica + ammontare viaggi servizio e missioni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4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Dati relativi all'assunzione di altre cariche presso enti pubblici/privati + compensi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5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Altri eventuali incarichi con oneri a carico della finanza pubblica + compensi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6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Dichiarazioni reddituali e patrimoniali (per i titolari soggetti)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7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Dichiarazione sostitutiva ex art. 47 D.P.R. 445/2000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</w:tbl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pStyle w:val="Heading2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3. Consulenti e collaboratori</w:t>
      </w:r>
    </w:p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Voci da verificare per ciascun incarico esterno: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200"/>
        <w:gridCol w:w="1400"/>
        <w:gridCol w:w="1960"/>
      </w:tblGrid>
      <w:tr>
        <w:trPr>
          <w:tblHeader/>
        </w:trP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N.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Voce di pubblicazione obbligatoria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Esito verifica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Note / link interno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1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Estremi atto di conferimento incarico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2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Curriculum vitae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3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Compensi (con specifica eventuale TFS/buonuscita)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4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Dati relativi allo svolgimento di incarichi/cariche presso enti privati regolati o finanziati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5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Attestazione assenza conflitto di interessi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</w:tbl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pStyle w:val="Heading2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4. Personale: dotazione organica e costo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200"/>
        <w:gridCol w:w="1400"/>
        <w:gridCol w:w="1960"/>
      </w:tblGrid>
      <w:tr>
        <w:trPr>
          <w:tblHeader/>
        </w:trP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N.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Voce di pubblicazione obbligatoria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Esito verifica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Note / link interno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1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Conto annuale del personale (PerlaPA)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2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Costo del personale (con riferimento al pertinente esercizio)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3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Tassi di assenza per ufficio (trimestrali)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4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Incarichi conferiti e autorizzati ai dipendenti (Anagrafe Prestazioni)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</w:tbl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pStyle w:val="Heading2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5. Bandi di concorso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200"/>
        <w:gridCol w:w="1400"/>
        <w:gridCol w:w="1960"/>
      </w:tblGrid>
      <w:tr>
        <w:trPr>
          <w:tblHeader/>
        </w:trP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N.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Voce di pubblicazione obbligatoria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Esito verifica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Note / link interno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1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Bandi di concorso espletati nell'ultimo triennio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2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Criteri di valutazione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3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Tracce delle prove + graduatorie finali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4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Avvisi di selezione mobilità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</w:tbl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pStyle w:val="Heading2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6. Performance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200"/>
        <w:gridCol w:w="1400"/>
        <w:gridCol w:w="1960"/>
      </w:tblGrid>
      <w:tr>
        <w:trPr>
          <w:tblHeader/>
        </w:trP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N.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Voce di pubblicazione obbligatoria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Esito verifica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Note / link interno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1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Sistema di misurazione e valutazione della performance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2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Piano della Performance (sezione del PIAO)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3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Relazione sulla Performance validata dall'OIV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4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Documento dell'OIV di validazione della Relazione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5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Ammontare complessivo dei premi collegati alla performance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</w:tbl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pStyle w:val="Heading2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7. Bilanci e contabilità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200"/>
        <w:gridCol w:w="1400"/>
        <w:gridCol w:w="1960"/>
      </w:tblGrid>
      <w:tr>
        <w:trPr>
          <w:tblHeader/>
        </w:trP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N.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Voce di pubblicazione obbligatoria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Esito verifica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Note / link interno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1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Bilancio di previsione + variazioni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2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Rendiconto/conto consuntivo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3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Indicatore di tempestività dei pagamenti (annuale + trimestrale)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4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IBAN e codici per i pagamenti informatici (sezione AT)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5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Spese per la rappresentanza istituzionale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</w:tbl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pStyle w:val="Heading2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8. Trasparenza nell'utilizzo delle risorse pubbliche — art. 4-bis</w:t>
      </w:r>
    </w:p>
    <w:p>
      <w:pPr>
        <w:spacing w:after="100" w:before="80" w:line="300"/>
        <w:jc w:val="both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🆕 </w:t>
      </w: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Sezione modificata dalla Delibera ANAC n. 481/2025 — schemi obbligatori dal 22 gennaio 2026.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Sottosezione di primo livello: «Pagamenti dell'amministrazione» — sottosezione di secondo livello: «Dati sui pagamenti».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200"/>
        <w:gridCol w:w="1400"/>
        <w:gridCol w:w="1960"/>
      </w:tblGrid>
      <w:tr>
        <w:trPr>
          <w:tblHeader/>
        </w:trP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N.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Voce di pubblicazione obbligatoria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Esito verifica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Note / link interno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1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🆕 Pagamenti dell'amministrazione (con tipologia spesa, ambito temporale, beneficiari) — art. 4-bis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2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🆕 Indicazione del soggetto come 'tenuto'/'tenuto parzialmente'/'non tenuto' all'obbligo art. 4-bis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3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Link al sito 'Soldi pubblici' di AgID (consigliato)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4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Open data dei pagamenti in formato aperto/riutilizzabile (Linee guida AgID)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</w:tbl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pStyle w:val="Heading2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9. Servizi erogati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200"/>
        <w:gridCol w:w="1400"/>
        <w:gridCol w:w="1960"/>
      </w:tblGrid>
      <w:tr>
        <w:trPr>
          <w:tblHeader/>
        </w:trP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N.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Voce di pubblicazione obbligatoria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Esito verifica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Note / link interno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1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Carta dei servizi e standard di qualità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2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Reclami: organi competenti, modalità di presentazione e tempi di risposta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3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Class action — esempi di azioni promosse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4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Costi contabilizzati dei servizi e tempi medi di erogazione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</w:tbl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pStyle w:val="Heading2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10. Controlli e rilievi sull'amministrazione — art. 31</w:t>
      </w:r>
    </w:p>
    <w:p>
      <w:pPr>
        <w:spacing w:after="100" w:before="80" w:line="300"/>
        <w:jc w:val="both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🆕 </w:t>
      </w: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Sezione modificata dalla Delibera ANAC n. 481/2025.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Sottosezione di primo livello: «Controlli e rilievi sull'amministrazione», con tre sottosezioni di secondo livello: «Organismi indipendenti di valutazione», «Organi di revisione amministrativa e contabile», «Corte dei Conti».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200"/>
        <w:gridCol w:w="1400"/>
        <w:gridCol w:w="1960"/>
      </w:tblGrid>
      <w:tr>
        <w:trPr>
          <w:tblHeader/>
        </w:trP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N.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Voce di pubblicazione obbligatoria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Esito verifica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Note / link interno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1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🆕 OIV — Documento di validazione della Relazione sulla Performance (data + documento) — art. 31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2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🆕 OIV — Relazione sul funzionamento del Sistema di valutazione (griglie trasparenza)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3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🆕 OIV — Altri atti dell'organismo o organismi analoghi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4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🆕 Revisori — Relazione al bilancio di previsione e alle variazioni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5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🆕 Revisori — Relazione al conto consuntivo/rendiconto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6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🆕 Corte dei Conti — Rilievi recepiti e non recepiti (tabella: data, oggetto, tipo di recepimento, link)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</w:tbl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pStyle w:val="Heading2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11. Informazioni ambientali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200"/>
        <w:gridCol w:w="1400"/>
        <w:gridCol w:w="1960"/>
      </w:tblGrid>
      <w:tr>
        <w:trPr>
          <w:tblHeader/>
        </w:trP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N.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Voce di pubblicazione obbligatoria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Esito verifica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Note / link interno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1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Informazioni ambientali (D.Lgs. 195/2005)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2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Dati relativi a stato dell'aria, acqua, suolo, biodiversità di competenza dell'ente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3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Misure incidenti su tali fattori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</w:tbl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pStyle w:val="Heading2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12. Altri contenuti — Accessibilità e Catalogo dati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200"/>
        <w:gridCol w:w="1400"/>
        <w:gridCol w:w="1960"/>
      </w:tblGrid>
      <w:tr>
        <w:trPr>
          <w:tblHeader/>
        </w:trP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N.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Voce di pubblicazione obbligatoria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Esito verifica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Note / link interno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1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Catalogo dei dati, metadati e banche dati in formato aperto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2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Obiettivi di accessibilità (entro il 31 marzo)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3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Regolamento sulla videosorveglianza e DPIA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4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Privacy policy + Cookie policy + Note legali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</w:tbl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pStyle w:val="Heading2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13. Provvedimenti — atti dirigenziali e degli organi di indirizzo politico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200"/>
        <w:gridCol w:w="1400"/>
        <w:gridCol w:w="1960"/>
      </w:tblGrid>
      <w:tr>
        <w:trPr>
          <w:tblHeader/>
        </w:trP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N.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Voce di pubblicazione obbligatoria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Esito verifica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Note / link interno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1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Provvedimenti dirigenziali pubblicati (semestrale)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2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Provvedimenti organi indirizzo politico (semestrale)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3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Atti di concessione di sovvenzioni, contributi, sussidi, ausili finanziari &gt; € 1.000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4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Atti generali (regolamenti, atti normativi interni)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</w:tbl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pStyle w:val="Heading2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14. Altri contenuti — Anticorruzione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200"/>
        <w:gridCol w:w="1400"/>
        <w:gridCol w:w="1960"/>
      </w:tblGrid>
      <w:tr>
        <w:trPr>
          <w:tblHeader/>
        </w:trP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N.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Voce di pubblicazione obbligatoria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Esito verifica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Note / link interno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1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PIAO 2026-2028 — sezione anticorruzione e trasparenza (PTPCT)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2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Atto di nomina del RPCT (con DPO/RTD se cumulati o separati)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3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Relazione annuale del RPCT (entro 15 dicembre — modello ANAC)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4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Mappatura aree di rischio e misure di prevenzione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F7FA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5</w:t>
            </w:r>
          </w:p>
        </w:tc>
        <w:tc>
          <w:tcPr>
            <w:tcW w:type="dxa" w:w="5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Whistleblowing — canale interno e contatti gestore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☐ OK   ☐ KO   ☐ N/A</w:t>
            </w:r>
          </w:p>
        </w:tc>
        <w:tc>
          <w:tcPr>
            <w:tcW w:type="dxa" w:w="1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</w:tbl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pStyle w:val="Heading2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Esito complessivo del monitoraggio</w:t>
      </w:r>
    </w:p>
    <w:p>
      <w:pPr>
        <w:spacing w:after="60" w:before="80" w:line="300"/>
        <w:jc w:val="both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Sezioni completamente conformi: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 / 14</w:t>
      </w:r>
    </w:p>
    <w:p>
      <w:pPr>
        <w:spacing w:after="60" w:before="80" w:line="300"/>
        <w:jc w:val="both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Sezioni con criticità da sanare: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</w:t>
      </w:r>
    </w:p>
    <w:p>
      <w:pPr>
        <w:spacing w:after="60" w:before="80" w:line="300"/>
        <w:jc w:val="both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Sezioni con obblighi non applicabili: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</w:t>
      </w:r>
    </w:p>
    <w:p>
      <w:pPr>
        <w:spacing w:after="40" w:before="200" w:line="300"/>
        <w:jc w:val="both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Allineamento alla Delibera ANAC 481/2025 (obbligatoria dal 22/01/2026): </w:t>
      </w:r>
    </w:p>
    <w:p>
      <w:pPr>
        <w:spacing w:after="20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☐ Allineamento completato   ☐ In corso (termine entro: ____________)   ☐ Non iniziato</w:t>
      </w:r>
    </w:p>
    <w:p>
      <w:pPr>
        <w:pStyle w:val="Heading3"/>
        <w:spacing w:after="12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0"/>
          <w:szCs w:val="20"/>
        </w:rPr>
        <w:t xml:space="preserve">Piano di rientro per le criticità rilevate</w:t>
      </w:r>
    </w:p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Per ciascuna criticità (KO) indicare: voce di pubblicazione, ufficio responsabile, termine di pubblicazione, responsabile dell'azione.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60"/>
        <w:gridCol w:w="2000"/>
        <w:gridCol w:w="2000"/>
        <w:gridCol w:w="2000"/>
      </w:tblGrid>
      <w:tr>
        <w:trPr>
          <w:tblHeader/>
        </w:trPr>
        <w:tc>
          <w:tcPr>
            <w:tcW w:type="dxa" w:w="3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Voce di pubblicazione da sanare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Ufficio responsabile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Termine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B3A5B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Responsabile azione</w:t>
            </w:r>
          </w:p>
        </w:tc>
      </w:tr>
      <w:tr>
        <w:tc>
          <w:tcPr>
            <w:tcW w:type="dxa" w:w="3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__________________________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3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__________________________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3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__________________________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3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__________________________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3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__________________________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  <w:tr>
        <w:tc>
          <w:tcPr>
            <w:tcW w:type="dxa" w:w="3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__________________________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8"/>
                <w:szCs w:val="18"/>
              </w:rPr>
              <w:t xml:space="preserve">__________</w:t>
            </w:r>
          </w:p>
        </w:tc>
      </w:tr>
    </w:tbl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40" w:before="240" w:line="300"/>
        <w:jc w:val="both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Data: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della Prevenzione della Corruzione e Trasparenza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__________________________________________________________</w:t>
      </w:r>
    </w:p>
    <w:p>
      <w:pPr>
        <w:spacing w:after="60" w:before="24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Visto: l'Organismo Indipendente di Valutazione (OIV)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__________________________________________________________</w:t>
      </w:r>
    </w:p>
    <w:p>
      <w:pPr>
        <w:pBdr>
          <w:top w:val="single" w:color="1B3A5B" w:sz="6" w:space="1"/>
        </w:pBdr>
        <w:spacing w:after="100" w:before="5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80" w:line="30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RIFERIMENTI NORMATIVI E DOCUMENTALI</w:t>
      </w:r>
    </w:p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D.Lgs. 14 marzo 2013, n. 33 (Codice della trasparenza), in particolare artt. 4-bis, 13, 14, 31.</w:t>
      </w:r>
    </w:p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Delibera ANAC n. 168 del 15 aprile 2026 (attestazione OIV obblighi di trasparenza 2026).</w:t>
      </w:r>
    </w:p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Delibera ANAC n. 495 del 25 settembre 2024 (schemi-tipo di pubblicazione).</w:t>
      </w:r>
    </w:p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Delibera ANAC n. 481 del 3 dicembre 2025 (aggiornamento Allegati 1, 3 e 4 — obbligo 22/01/2026).</w:t>
      </w:r>
    </w:p>
    <w:p>
      <w:pPr>
        <w:spacing w:after="80" w:before="80" w:line="30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Linee guida AgID sull'apertura e il riutilizzo dei dati del settore pubblico.</w: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6"/>
        <w:szCs w:val="16"/>
      </w:rPr>
      <w:t xml:space="preserve">Pagina </w:t>
    </w:r>
    <w:r>
      <w:rPr>
        <w:rFonts w:ascii="Arial" w:cs="Arial" w:eastAsia="Arial" w:hAnsi="Arial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6"/>
        <w:szCs w:val="16"/>
      </w:rPr>
      <w:t xml:space="preserve"> di </w:t>
    </w:r>
    <w:r>
      <w:rPr>
        <w:rFonts w:ascii="Arial" w:cs="Arial" w:eastAsia="Arial" w:hAnsi="Arial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4"/>
        <w:szCs w:val="14"/>
      </w:rPr>
      <w:t xml:space="preserve">CHECKLIST MONITORAGGIO AMMINISTRAZIONE TRASPARENTE — Delibera ANAC 481/2025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320"/>
      <w:outlineLvl w:val="0"/>
    </w:pPr>
    <w:rPr>
      <w:rFonts w:ascii="Arial" w:cs="Arial" w:eastAsia="Arial" w:hAnsi="Arial"/>
      <w:b/>
      <w:bCs/>
      <w:color w:val="1B3A5B"/>
      <w:sz w:val="28"/>
      <w:szCs w:val="28"/>
    </w:rPr>
  </w:style>
  <w:style w:type="paragraph" w:styleId="Heading2">
    <w:name w:val="Heading 2"/>
    <w:basedOn w:val="Normal"/>
    <w:next w:val="Normal"/>
    <w:qFormat/>
    <w:pPr>
      <w:spacing w:after="140" w:before="280"/>
      <w:outlineLvl w:val="1"/>
    </w:pPr>
    <w:rPr>
      <w:rFonts w:ascii="Arial" w:cs="Arial" w:eastAsia="Arial" w:hAnsi="Arial"/>
      <w:b/>
      <w:bCs/>
      <w:color w:val="1B3A5B"/>
      <w:sz w:val="24"/>
      <w:szCs w:val="24"/>
    </w:rPr>
  </w:style>
  <w:style w:type="paragraph" w:styleId="Heading3">
    <w:name w:val="Heading 3"/>
    <w:basedOn w:val="Normal"/>
    <w:next w:val="Normal"/>
    <w:qFormat/>
    <w:pPr>
      <w:spacing w:after="100" w:before="200"/>
      <w:outlineLvl w:val="2"/>
    </w:pPr>
    <w:rPr>
      <w:rFonts w:ascii="Arial" w:cs="Arial" w:eastAsia="Arial" w:hAnsi="Arial"/>
      <w:b/>
      <w:bCs/>
      <w:color w:val="1B3A5B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Checklist Amministrazione Trasparente — MODELLO</dc:title>
  <dc:creator>Marco Matteocci — Segretario Comunale</dc:creator>
  <dc:description>Checklist operativa di monitoraggio della sezione Amministrazione Trasparente aggiornata Delibera ANAC 481/2025</dc:description>
  <cp:lastModifiedBy>Un-named</cp:lastModifiedBy>
  <cp:revision>1</cp:revision>
  <dcterms:created xsi:type="dcterms:W3CDTF">2026-06-15T14:25:08.759Z</dcterms:created>
  <dcterms:modified xsi:type="dcterms:W3CDTF">2026-06-15T14:25:08.769Z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